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902" w:rsidRPr="00242902" w:rsidRDefault="00242902" w:rsidP="00242902">
      <w:pPr>
        <w:spacing w:after="420" w:line="570" w:lineRule="atLeast"/>
        <w:jc w:val="center"/>
        <w:textAlignment w:val="baseline"/>
        <w:outlineLvl w:val="0"/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>О п</w:t>
      </w:r>
      <w:r w:rsidRPr="00242902"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>орядк</w:t>
      </w:r>
      <w:r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>е</w:t>
      </w:r>
      <w:r w:rsidRPr="00242902"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 xml:space="preserve">, </w:t>
      </w:r>
      <w:r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 xml:space="preserve">об </w:t>
      </w:r>
      <w:r w:rsidRPr="00242902"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>объем</w:t>
      </w:r>
      <w:r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>е</w:t>
      </w:r>
      <w:r w:rsidRPr="00242902"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 xml:space="preserve"> и условия</w:t>
      </w:r>
      <w:r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>х</w:t>
      </w:r>
      <w:r w:rsidRPr="00242902"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 xml:space="preserve"> оказания медицинской помощи в соответствии с программой</w:t>
      </w:r>
      <w:r>
        <w:rPr>
          <w:rFonts w:ascii="Trebuchet MS" w:eastAsia="Times New Roman" w:hAnsi="Trebuchet MS" w:cs="Arial"/>
          <w:color w:val="0072BC"/>
          <w:spacing w:val="-8"/>
          <w:kern w:val="36"/>
          <w:sz w:val="42"/>
          <w:szCs w:val="42"/>
          <w:lang w:eastAsia="ru-RU"/>
        </w:rPr>
        <w:t xml:space="preserve"> государственных гарантий бесплатного оказания медицинской помощи</w:t>
      </w:r>
    </w:p>
    <w:p w:rsidR="00242902" w:rsidRPr="00242902" w:rsidRDefault="00242902" w:rsidP="00242902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предоставления медицинской помощи медицинскими организациями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осуществляется медицинскими организациями при наличии лицензии на осуществление медицинской деятельности. В соответствии с договорами ОМС медицинская помощь застрахованным гражданам предоставляется при предъявлении ими полиса ОМС или документа, удостоверяющего личность. Оказание медицинской помощи в экстренной форме осуществляется независимо от наличия страхового полиса ОМС и документа, удостоверяющего личность.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в экстренной форме оказывается гражданину безотлагательно медицинской организацией, в которую он обратился. Если в указанной медицинской организации не может быть оказана необходимая медицинская помощь, медицинская организация обеспечивает перевод гражданина в другую медицинскую организацию, в которой предусмотрено оказание необходимой медицинской помощи.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в экстренной форме, скорая медицинская помощь, в том числе скорая специализированная, в экстренной и неотложной форме оказывается иностранным гражданам, не застрахованным по ОМС, бесплатно.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при состояниях, не требующих по медицинским показаниям проведения круглосуточного медицинского наблюдения и лечения, оказывается гражданам в амбулаторных условиях, в том числе на койках дневного стационара в условиях, предусматривающих медицинское наблюдение в дневное время, но не требующих круглосуточного медицинского наблюдения и лечения.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состояниях, требующих по медицинским показаниям проведения круглосуточного медицинского наблюдения и лечения, медицинская помощь оказывается в условиях круглосуточного стационара.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и лечение в научно-исследовательских институтах и медицинских организациях Российской Федерации по медицинским показаниям осуществляются в соответствии с нормативными правовыми актами Российской Федерации.</w:t>
      </w:r>
    </w:p>
    <w:p w:rsidR="00242902" w:rsidRPr="00242902" w:rsidRDefault="00242902" w:rsidP="002429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организация, участвующая в реализации </w:t>
      </w:r>
      <w:hyperlink r:id="rId4" w:anchor="sub_100000" w:history="1">
        <w:r w:rsidRPr="00242902">
          <w:rPr>
            <w:rFonts w:ascii="Times New Roman" w:eastAsia="Times New Roman" w:hAnsi="Times New Roman" w:cs="Times New Roman"/>
            <w:color w:val="258FEF"/>
            <w:sz w:val="24"/>
            <w:szCs w:val="24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размещение во всех основных подразделениях медицинской организации (в регистратуре и холлах амбулаторно-поликлинических подразделений медицинских организаций, в приемных и других отделениях стационаров) на видном месте и на официальном сайте в информационно-телекоммуникационной сети «Интернет» информации для граждан по вопросам реализации их законных интересов и прав на получение бесплатной медицинской помощи надлежащего объема и качества в рамках Программы, в том числе нормативных или иных регламентирующих документов (их отдельных положений):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медицинской организации: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наименовании, месте нахождения, включая обособленные структурные подразделения (при их наличии), почтовом адресе, схеме проезда;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дате государственной регистрации, сведениях об учредителе (учредителях);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и органах управления;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и графике работы;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внутреннего распорядка для потребителей услуг;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 телефонах, номерах телефонов справочных служб, адресах электронной почты;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графике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 адресах и контактных телефонах министерства здравоохранения Астраханской области, Территориального органа Федеральной службы по надзору в сфере здравоохранения по Астраханской области, Управления Федеральной службы по надзору в сфере защиты прав потребителей и благополучия человека по Астраханской области;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страховых медицинских организациях, с которыми заключены договоры на оказание и оплату медицинской помощи по ОМС;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правах и обязанностях граждан в сфере охраны здоровья;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медицинской деятельности медицинской организации: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лицензии на осуществление медицинской деятельности (с приложением электронных образцов документов);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медицинской помощи;</w:t>
      </w:r>
    </w:p>
    <w:p w:rsidR="00242902" w:rsidRPr="00242902" w:rsidRDefault="00242902" w:rsidP="002429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получения медицинской помощи в рамках </w:t>
      </w:r>
      <w:hyperlink r:id="rId5" w:anchor="sub_100000" w:history="1">
        <w:r w:rsidRPr="00242902">
          <w:rPr>
            <w:rFonts w:ascii="Times New Roman" w:eastAsia="Times New Roman" w:hAnsi="Times New Roman" w:cs="Times New Roman"/>
            <w:color w:val="258FEF"/>
            <w:sz w:val="24"/>
            <w:szCs w:val="24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02" w:rsidRPr="00242902" w:rsidRDefault="00242902" w:rsidP="002429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объеме и условиях оказания медицинской помощи в соответствии с </w:t>
      </w:r>
      <w:hyperlink r:id="rId6" w:anchor="sub_100000" w:history="1">
        <w:r w:rsidRPr="00242902">
          <w:rPr>
            <w:rFonts w:ascii="Times New Roman" w:eastAsia="Times New Roman" w:hAnsi="Times New Roman" w:cs="Times New Roman"/>
            <w:color w:val="258FEF"/>
            <w:sz w:val="24"/>
            <w:szCs w:val="24"/>
            <w:u w:val="single"/>
            <w:bdr w:val="none" w:sz="0" w:space="0" w:color="auto" w:frame="1"/>
            <w:lang w:eastAsia="ru-RU"/>
          </w:rPr>
          <w:t>Программой</w:t>
        </w:r>
      </w:hyperlink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02" w:rsidRPr="00242902" w:rsidRDefault="00242902" w:rsidP="002429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 доступности и качества медицинской помощи, установленных в </w:t>
      </w:r>
      <w:hyperlink r:id="rId7" w:anchor="sub_100000" w:history="1">
        <w:r w:rsidRPr="00242902">
          <w:rPr>
            <w:rFonts w:ascii="Times New Roman" w:eastAsia="Times New Roman" w:hAnsi="Times New Roman" w:cs="Times New Roman"/>
            <w:color w:val="258FEF"/>
            <w:sz w:val="24"/>
            <w:szCs w:val="24"/>
            <w:u w:val="single"/>
            <w:bdr w:val="none" w:sz="0" w:space="0" w:color="auto" w:frame="1"/>
            <w:lang w:eastAsia="ru-RU"/>
          </w:rPr>
          <w:t>Программе</w:t>
        </w:r>
      </w:hyperlink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записи на первичный прием/консультацию/обследование;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подготовки к диагностическим исследованиям;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и сроках госпитализации;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предоставления платных медицинских услуг;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оказываемых платных медицинских услуг;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ценах (тарифах) на медицинские услуги (с приложением электронных образцов документов);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медицинских работниках медицинской организации, включая филиалы (при их наличии):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отчестве (последнее — при наличии) медицинского работника, занимаемой должности;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из сертификата специалиста (специальность, соответствующая занимаемой должности, срок действия);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графике работы и часах приема медицинского работника;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 вакантных должностях;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перечне жизненно необходимых и важнейших лекарственных препаратов для медицинского применения;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 отзывах потребителей услуг;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иной информации,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Федерации, и механизмов обратной связи, в том числе возможность размещения обращения на сайте медицинской организации (форма для подачи электронного запроса) и в рубрике «вопрос-ответ».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доступном для посетителей месте должен быть расположен ящик с надписью «Для писем руководителю», а также книга жалоб и предложений.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(его законный представитель), доверенное лицо имеют право на основании письменного заявления получить медицинские документы, их копии и выписки из медицинских документов, отражающих состояние здоровья, в соответствии с законодательством Российской Федерации.</w:t>
      </w:r>
    </w:p>
    <w:p w:rsidR="00242902" w:rsidRPr="00242902" w:rsidRDefault="00242902" w:rsidP="002429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 </w:t>
      </w:r>
      <w:hyperlink r:id="rId8" w:anchor="sub_100000" w:history="1">
        <w:r w:rsidRPr="00242902">
          <w:rPr>
            <w:rFonts w:ascii="Times New Roman" w:eastAsia="Times New Roman" w:hAnsi="Times New Roman" w:cs="Times New Roman"/>
            <w:color w:val="258FEF"/>
            <w:sz w:val="24"/>
            <w:szCs w:val="24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оказании медицинской помощи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связанном с ним риске, возможных вариантах медицинского вмешательства, о его последствиях, а также о предполагаемых результатах оказания медицинской помощи в соответствии с законодательством Российской Федерации.</w:t>
      </w:r>
    </w:p>
    <w:p w:rsidR="00242902" w:rsidRPr="00242902" w:rsidRDefault="00242902" w:rsidP="002429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медицинской помощи в рамках </w:t>
      </w:r>
      <w:hyperlink r:id="rId9" w:anchor="sub_100000" w:history="1">
        <w:r w:rsidRPr="00242902">
          <w:rPr>
            <w:rFonts w:ascii="Times New Roman" w:eastAsia="Times New Roman" w:hAnsi="Times New Roman" w:cs="Times New Roman"/>
            <w:color w:val="258FEF"/>
            <w:sz w:val="24"/>
            <w:szCs w:val="24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подлежат оплате за счет личных средств граждан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материала.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решать: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руководитель структурного подразделения медицинской организации, руководитель медицинской организации;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страховая медицинская организация (далее — СМО), включая страхового представителя;</w:t>
      </w:r>
    </w:p>
    <w:p w:rsidR="00242902" w:rsidRP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министерство здравоохранения Астраханской области, Территориальный орган Федеральной службы по надзору в сфере здравоохранения по Астраханской области, </w:t>
      </w: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территориальный фонд обязательного медицинского страхования Астраханской области (далее — ТФОМС АО);</w:t>
      </w:r>
    </w:p>
    <w:p w:rsid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общественные организации, профессиональные некоммерческие медицинские и </w:t>
      </w:r>
      <w:proofErr w:type="spellStart"/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пациентские</w:t>
      </w:r>
      <w:proofErr w:type="spellEnd"/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 </w:t>
      </w:r>
    </w:p>
    <w:p w:rsidR="00242902" w:rsidRDefault="00242902" w:rsidP="0024290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02" w:rsidRPr="00242902" w:rsidRDefault="00242902" w:rsidP="00242902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в амбулаторных условиях, оказываемой с профилактическими и иными целями, на 1 жителя / застрахованное лицо на 2025 год</w:t>
      </w:r>
    </w:p>
    <w:p w:rsidR="00242902" w:rsidRPr="00242902" w:rsidRDefault="00242902" w:rsidP="0024290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403"/>
        <w:gridCol w:w="2126"/>
        <w:gridCol w:w="2126"/>
      </w:tblGrid>
      <w:tr w:rsidR="00242902" w:rsidRPr="00242902" w:rsidTr="00242902">
        <w:tc>
          <w:tcPr>
            <w:tcW w:w="69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540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(на 1 жителя / застрахованное лицо)</w:t>
            </w:r>
          </w:p>
        </w:tc>
        <w:tc>
          <w:tcPr>
            <w:tcW w:w="4252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242902" w:rsidRPr="00242902" w:rsidTr="00242902">
        <w:tc>
          <w:tcPr>
            <w:tcW w:w="693" w:type="dxa"/>
            <w:vMerge/>
            <w:shd w:val="clear" w:color="auto" w:fill="F4F4F4"/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vMerge/>
            <w:shd w:val="clear" w:color="auto" w:fill="F4F4F4"/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бюджета Астраханской области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профилактической и иными целями (сумма </w:t>
            </w:r>
            <w:hyperlink r:id="rId10" w:anchor="sub_6202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 2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11" w:anchor="sub_6203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12" w:anchor="sub_6204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4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13" w:anchor="sub_6205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  <w:hyperlink r:id="rId14" w:anchor="sub_6212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12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15" w:anchor="sub_6213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3,3541814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0,1404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0,266791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0,432393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0,050758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Норматив объема комплексных посещений для проведения диспансеризации для оценки репродуктивного здоровья женщин и мужчин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0,134681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0,068994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0,065687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Норматив посещений с иными целями (сумма </w:t>
            </w:r>
            <w:hyperlink r:id="rId16" w:anchor="sub_6206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 6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17" w:anchor="sub_6209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9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18" w:anchor="sub_6210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10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19" w:anchor="sub_6211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11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0,3700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2,276729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для паллиативной медицинской помощи (сумма </w:t>
            </w:r>
            <w:hyperlink r:id="rId20" w:anchor="sub_6207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строк 7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21" w:anchor="sub_6208" w:history="1">
              <w:r w:rsidRPr="00242902">
                <w:rPr>
                  <w:rFonts w:ascii="Times New Roman" w:eastAsia="Times New Roman" w:hAnsi="Times New Roman" w:cs="Times New Roman"/>
                  <w:color w:val="258FE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8</w:t>
              </w:r>
            </w:hyperlink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на дому выездными патронажными бригадами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разовых посещений в связи с заболеванием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0,286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1,333144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0,849517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0,094068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Посещения с профилактическими целями центров здоровья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0,0333105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Объем комплексных посещений для школы для больных с хроническими заболеваниями, в том числе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0,2102769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сахарного диабета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0,005702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0,0333105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0,008007</w:t>
            </w:r>
          </w:p>
        </w:tc>
      </w:tr>
      <w:tr w:rsidR="00242902" w:rsidRPr="00242902" w:rsidTr="00242902">
        <w:tc>
          <w:tcPr>
            <w:tcW w:w="6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для проведения 2 этапа диспансеризации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0,114352</w:t>
            </w:r>
          </w:p>
        </w:tc>
      </w:tr>
      <w:tr w:rsidR="00242902" w:rsidRPr="00242902" w:rsidTr="00242902">
        <w:tc>
          <w:tcPr>
            <w:tcW w:w="69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3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902" w:rsidRPr="00242902" w:rsidRDefault="00242902" w:rsidP="00242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0,261736</w:t>
            </w:r>
          </w:p>
        </w:tc>
      </w:tr>
    </w:tbl>
    <w:p w:rsidR="00431B97" w:rsidRDefault="00242902"/>
    <w:sectPr w:rsidR="00431B97" w:rsidSect="0024290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02"/>
    <w:rsid w:val="00242902"/>
    <w:rsid w:val="00474BE0"/>
    <w:rsid w:val="00F2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7196"/>
  <w15:chartTrackingRefBased/>
  <w15:docId w15:val="{E6EDEC98-CFCD-401B-B50C-F9414CC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a47.ru/poryadok-obem-i-usloviya-okazaniya-medicinskoj-pomoshhi-v-sootvetstvii-s-programmoj/" TargetMode="External"/><Relationship Id="rId13" Type="http://schemas.openxmlformats.org/officeDocument/2006/relationships/hyperlink" Target="https://kirova47.ru/poryadok-obem-i-usloviya-okazaniya-medicinskoj-pomoshhi-v-sootvetstvii-s-programmoj/" TargetMode="External"/><Relationship Id="rId18" Type="http://schemas.openxmlformats.org/officeDocument/2006/relationships/hyperlink" Target="https://kirova47.ru/poryadok-obem-i-usloviya-okazaniya-medicinskoj-pomoshhi-v-sootvetstvii-s-programmoj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irova47.ru/poryadok-obem-i-usloviya-okazaniya-medicinskoj-pomoshhi-v-sootvetstvii-s-programmoj/" TargetMode="External"/><Relationship Id="rId7" Type="http://schemas.openxmlformats.org/officeDocument/2006/relationships/hyperlink" Target="https://kirova47.ru/poryadok-obem-i-usloviya-okazaniya-medicinskoj-pomoshhi-v-sootvetstvii-s-programmoj/" TargetMode="External"/><Relationship Id="rId12" Type="http://schemas.openxmlformats.org/officeDocument/2006/relationships/hyperlink" Target="https://kirova47.ru/poryadok-obem-i-usloviya-okazaniya-medicinskoj-pomoshhi-v-sootvetstvii-s-programmoj/" TargetMode="External"/><Relationship Id="rId17" Type="http://schemas.openxmlformats.org/officeDocument/2006/relationships/hyperlink" Target="https://kirova47.ru/poryadok-obem-i-usloviya-okazaniya-medicinskoj-pomoshhi-v-sootvetstvii-s-programmoj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irova47.ru/poryadok-obem-i-usloviya-okazaniya-medicinskoj-pomoshhi-v-sootvetstvii-s-programmoj/" TargetMode="External"/><Relationship Id="rId20" Type="http://schemas.openxmlformats.org/officeDocument/2006/relationships/hyperlink" Target="https://kirova47.ru/poryadok-obem-i-usloviya-okazaniya-medicinskoj-pomoshhi-v-sootvetstvii-s-programmoj/" TargetMode="External"/><Relationship Id="rId1" Type="http://schemas.openxmlformats.org/officeDocument/2006/relationships/styles" Target="styles.xml"/><Relationship Id="rId6" Type="http://schemas.openxmlformats.org/officeDocument/2006/relationships/hyperlink" Target="https://kirova47.ru/poryadok-obem-i-usloviya-okazaniya-medicinskoj-pomoshhi-v-sootvetstvii-s-programmoj/" TargetMode="External"/><Relationship Id="rId11" Type="http://schemas.openxmlformats.org/officeDocument/2006/relationships/hyperlink" Target="https://kirova47.ru/poryadok-obem-i-usloviya-okazaniya-medicinskoj-pomoshhi-v-sootvetstvii-s-programmoj/" TargetMode="External"/><Relationship Id="rId5" Type="http://schemas.openxmlformats.org/officeDocument/2006/relationships/hyperlink" Target="https://kirova47.ru/poryadok-obem-i-usloviya-okazaniya-medicinskoj-pomoshhi-v-sootvetstvii-s-programmoj/" TargetMode="External"/><Relationship Id="rId15" Type="http://schemas.openxmlformats.org/officeDocument/2006/relationships/hyperlink" Target="https://kirova47.ru/poryadok-obem-i-usloviya-okazaniya-medicinskoj-pomoshhi-v-sootvetstvii-s-programmoj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irova47.ru/poryadok-obem-i-usloviya-okazaniya-medicinskoj-pomoshhi-v-sootvetstvii-s-programmoj/" TargetMode="External"/><Relationship Id="rId19" Type="http://schemas.openxmlformats.org/officeDocument/2006/relationships/hyperlink" Target="https://kirova47.ru/poryadok-obem-i-usloviya-okazaniya-medicinskoj-pomoshhi-v-sootvetstvii-s-programmoj/" TargetMode="External"/><Relationship Id="rId4" Type="http://schemas.openxmlformats.org/officeDocument/2006/relationships/hyperlink" Target="https://kirova47.ru/poryadok-obem-i-usloviya-okazaniya-medicinskoj-pomoshhi-v-sootvetstvii-s-programmoj/" TargetMode="External"/><Relationship Id="rId9" Type="http://schemas.openxmlformats.org/officeDocument/2006/relationships/hyperlink" Target="https://kirova47.ru/poryadok-obem-i-usloviya-okazaniya-medicinskoj-pomoshhi-v-sootvetstvii-s-programmoj/" TargetMode="External"/><Relationship Id="rId14" Type="http://schemas.openxmlformats.org/officeDocument/2006/relationships/hyperlink" Target="https://kirova47.ru/poryadok-obem-i-usloviya-okazaniya-medicinskoj-pomoshhi-v-sootvetstvii-s-programmoj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1964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</dc:creator>
  <cp:keywords/>
  <dc:description/>
  <cp:lastModifiedBy>Lyashenko</cp:lastModifiedBy>
  <cp:revision>1</cp:revision>
  <dcterms:created xsi:type="dcterms:W3CDTF">2025-08-07T06:51:00Z</dcterms:created>
  <dcterms:modified xsi:type="dcterms:W3CDTF">2025-08-07T06:55:00Z</dcterms:modified>
</cp:coreProperties>
</file>